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F136" w14:textId="7DCEBE44" w:rsidR="005476ED" w:rsidRPr="009F60AC" w:rsidRDefault="005476ED">
      <w:pPr>
        <w:rPr>
          <w:rFonts w:asciiTheme="minorHAnsi" w:hAnsiTheme="minorHAnsi" w:cstheme="minorHAnsi"/>
          <w:b/>
          <w:sz w:val="28"/>
        </w:rPr>
      </w:pPr>
      <w:r w:rsidRPr="009F60AC">
        <w:rPr>
          <w:rFonts w:asciiTheme="minorHAnsi" w:hAnsiTheme="minorHAnsi" w:cstheme="minorHAnsi"/>
          <w:b/>
          <w:sz w:val="28"/>
        </w:rPr>
        <w:t xml:space="preserve">District Council Report </w:t>
      </w:r>
      <w:r w:rsidR="00F641D4" w:rsidRPr="009F60AC">
        <w:rPr>
          <w:rFonts w:asciiTheme="minorHAnsi" w:hAnsiTheme="minorHAnsi" w:cstheme="minorHAnsi"/>
          <w:b/>
          <w:sz w:val="28"/>
        </w:rPr>
        <w:t>Febru</w:t>
      </w:r>
      <w:r w:rsidRPr="009F60AC">
        <w:rPr>
          <w:rFonts w:asciiTheme="minorHAnsi" w:hAnsiTheme="minorHAnsi" w:cstheme="minorHAnsi"/>
          <w:b/>
          <w:sz w:val="28"/>
        </w:rPr>
        <w:t>ary 2024</w:t>
      </w:r>
    </w:p>
    <w:p w14:paraId="634985A6" w14:textId="77777777" w:rsidR="00C952D7" w:rsidRPr="009F60AC" w:rsidRDefault="00723883" w:rsidP="00C952D7">
      <w:pPr>
        <w:spacing w:after="0"/>
        <w:rPr>
          <w:rFonts w:asciiTheme="minorHAnsi" w:hAnsiTheme="minorHAnsi" w:cstheme="minorHAnsi"/>
          <w:b/>
          <w:bCs/>
        </w:rPr>
      </w:pPr>
      <w:r w:rsidRPr="009F60AC">
        <w:rPr>
          <w:rFonts w:asciiTheme="minorHAnsi" w:hAnsiTheme="minorHAnsi" w:cstheme="minorHAnsi"/>
          <w:b/>
          <w:bCs/>
        </w:rPr>
        <w:t>AD Site</w:t>
      </w:r>
    </w:p>
    <w:p w14:paraId="169913C3" w14:textId="4F433A76" w:rsidR="00723883" w:rsidRDefault="00DB3466" w:rsidP="00C952D7">
      <w:pPr>
        <w:spacing w:after="0"/>
        <w:rPr>
          <w:rFonts w:asciiTheme="minorHAnsi" w:hAnsiTheme="minorHAnsi" w:cstheme="minorHAnsi"/>
          <w:sz w:val="20"/>
        </w:rPr>
      </w:pPr>
      <w:r w:rsidRPr="009F60AC">
        <w:rPr>
          <w:rFonts w:asciiTheme="minorHAnsi" w:hAnsiTheme="minorHAnsi" w:cstheme="minorHAnsi"/>
          <w:sz w:val="20"/>
        </w:rPr>
        <w:t xml:space="preserve">The </w:t>
      </w:r>
      <w:r w:rsidR="006039DC" w:rsidRPr="009F60AC">
        <w:rPr>
          <w:rFonts w:asciiTheme="minorHAnsi" w:hAnsiTheme="minorHAnsi" w:cstheme="minorHAnsi"/>
          <w:sz w:val="20"/>
        </w:rPr>
        <w:t>application remains unresolved but</w:t>
      </w:r>
      <w:r w:rsidR="00723883" w:rsidRPr="009F60AC">
        <w:rPr>
          <w:rFonts w:asciiTheme="minorHAnsi" w:hAnsiTheme="minorHAnsi" w:cstheme="minorHAnsi"/>
          <w:sz w:val="20"/>
        </w:rPr>
        <w:t xml:space="preserve"> and I am pushing for this to be given a priority for the benefit of all concerned.  My overall feeling</w:t>
      </w:r>
      <w:r w:rsidR="00884AE6" w:rsidRPr="009F60AC">
        <w:rPr>
          <w:rFonts w:asciiTheme="minorHAnsi" w:hAnsiTheme="minorHAnsi" w:cstheme="minorHAnsi"/>
          <w:sz w:val="20"/>
        </w:rPr>
        <w:t xml:space="preserve"> </w:t>
      </w:r>
      <w:r w:rsidR="009F60AC" w:rsidRPr="009F60AC">
        <w:rPr>
          <w:rFonts w:asciiTheme="minorHAnsi" w:hAnsiTheme="minorHAnsi" w:cstheme="minorHAnsi"/>
          <w:sz w:val="20"/>
        </w:rPr>
        <w:t>remains</w:t>
      </w:r>
      <w:r w:rsidR="00723883" w:rsidRPr="009F60AC">
        <w:rPr>
          <w:rFonts w:asciiTheme="minorHAnsi" w:hAnsiTheme="minorHAnsi" w:cstheme="minorHAnsi"/>
          <w:sz w:val="20"/>
        </w:rPr>
        <w:t xml:space="preserve"> as it was, and I do not believe the additional information provided by the Applicant to be reviewed by ARUP will change my position</w:t>
      </w:r>
      <w:r w:rsidR="00884AE6" w:rsidRPr="009F60AC">
        <w:rPr>
          <w:rFonts w:asciiTheme="minorHAnsi" w:hAnsiTheme="minorHAnsi" w:cstheme="minorHAnsi"/>
          <w:sz w:val="20"/>
        </w:rPr>
        <w:t xml:space="preserve"> and I await the ARUP response</w:t>
      </w:r>
      <w:r w:rsidR="00723883" w:rsidRPr="009F60AC">
        <w:rPr>
          <w:rFonts w:asciiTheme="minorHAnsi" w:hAnsiTheme="minorHAnsi" w:cstheme="minorHAnsi"/>
          <w:sz w:val="20"/>
        </w:rPr>
        <w:t xml:space="preserve">.  I still fervently hope that this should all be resolved by the end of this </w:t>
      </w:r>
      <w:r w:rsidR="00515EB3" w:rsidRPr="009F60AC">
        <w:rPr>
          <w:rFonts w:asciiTheme="minorHAnsi" w:hAnsiTheme="minorHAnsi" w:cstheme="minorHAnsi"/>
          <w:sz w:val="20"/>
        </w:rPr>
        <w:t>financial</w:t>
      </w:r>
      <w:r w:rsidR="00723883" w:rsidRPr="009F60AC">
        <w:rPr>
          <w:rFonts w:asciiTheme="minorHAnsi" w:hAnsiTheme="minorHAnsi" w:cstheme="minorHAnsi"/>
          <w:sz w:val="20"/>
        </w:rPr>
        <w:t xml:space="preserve"> year. </w:t>
      </w:r>
    </w:p>
    <w:p w14:paraId="6BCFEEEA" w14:textId="77777777" w:rsidR="00C952D7" w:rsidRDefault="00C952D7" w:rsidP="00C952D7">
      <w:pPr>
        <w:spacing w:after="0"/>
        <w:rPr>
          <w:rFonts w:asciiTheme="minorHAnsi" w:hAnsiTheme="minorHAnsi" w:cstheme="minorHAnsi"/>
          <w:b/>
          <w:bCs/>
        </w:rPr>
      </w:pPr>
    </w:p>
    <w:p w14:paraId="0997ED3F" w14:textId="22AD4229" w:rsidR="00723883" w:rsidRPr="009F60AC" w:rsidRDefault="00723883" w:rsidP="00C952D7">
      <w:pPr>
        <w:spacing w:after="0"/>
        <w:rPr>
          <w:rFonts w:asciiTheme="minorHAnsi" w:hAnsiTheme="minorHAnsi" w:cstheme="minorHAnsi"/>
          <w:b/>
          <w:bCs/>
        </w:rPr>
      </w:pPr>
      <w:r w:rsidRPr="009F60AC">
        <w:rPr>
          <w:rFonts w:asciiTheme="minorHAnsi" w:hAnsiTheme="minorHAnsi" w:cstheme="minorHAnsi"/>
          <w:b/>
          <w:bCs/>
        </w:rPr>
        <w:t>Travelling Show People Site</w:t>
      </w:r>
      <w:r w:rsidR="00525D49" w:rsidRPr="009F60AC">
        <w:rPr>
          <w:rFonts w:asciiTheme="minorHAnsi" w:hAnsiTheme="minorHAnsi" w:cstheme="minorHAnsi"/>
          <w:b/>
          <w:bCs/>
        </w:rPr>
        <w:t xml:space="preserve"> at Pillerton Priors/Hersey</w:t>
      </w:r>
    </w:p>
    <w:p w14:paraId="24752F5A" w14:textId="6CAD0C27" w:rsidR="00723883" w:rsidRDefault="00762465" w:rsidP="00C952D7">
      <w:pPr>
        <w:spacing w:after="0"/>
        <w:rPr>
          <w:rFonts w:asciiTheme="minorHAnsi" w:hAnsiTheme="minorHAnsi" w:cstheme="minorHAnsi"/>
          <w:sz w:val="20"/>
        </w:rPr>
      </w:pPr>
      <w:r w:rsidRPr="009F60AC">
        <w:rPr>
          <w:rFonts w:asciiTheme="minorHAnsi" w:hAnsiTheme="minorHAnsi" w:cstheme="minorHAnsi"/>
          <w:sz w:val="20"/>
        </w:rPr>
        <w:t>I have not been notified that the Applicant for the site has registered an Appeal against SDC Planning Refusal.</w:t>
      </w:r>
    </w:p>
    <w:p w14:paraId="58FD74E1" w14:textId="77777777" w:rsidR="00C952D7" w:rsidRDefault="00C952D7" w:rsidP="00C952D7">
      <w:pPr>
        <w:spacing w:after="0"/>
        <w:rPr>
          <w:rFonts w:asciiTheme="minorHAnsi" w:hAnsiTheme="minorHAnsi" w:cstheme="minorHAnsi"/>
          <w:b/>
          <w:bCs/>
        </w:rPr>
      </w:pPr>
    </w:p>
    <w:p w14:paraId="204C4CA3" w14:textId="230D86EA" w:rsidR="00AA32A0" w:rsidRPr="009F60AC" w:rsidRDefault="003B116D" w:rsidP="00C952D7">
      <w:pPr>
        <w:spacing w:after="0"/>
        <w:rPr>
          <w:rFonts w:asciiTheme="minorHAnsi" w:hAnsiTheme="minorHAnsi" w:cstheme="minorHAnsi"/>
          <w:b/>
          <w:bCs/>
        </w:rPr>
      </w:pPr>
      <w:r w:rsidRPr="009F60AC">
        <w:rPr>
          <w:rFonts w:asciiTheme="minorHAnsi" w:hAnsiTheme="minorHAnsi" w:cstheme="minorHAnsi"/>
          <w:b/>
          <w:bCs/>
        </w:rPr>
        <w:t>The Stratford upon Avon Christmas Market.</w:t>
      </w:r>
    </w:p>
    <w:p w14:paraId="4F453A50" w14:textId="077DC064" w:rsidR="003B116D" w:rsidRPr="009F60AC" w:rsidRDefault="008B5E9C" w:rsidP="00C952D7">
      <w:pPr>
        <w:spacing w:after="0"/>
        <w:rPr>
          <w:rFonts w:asciiTheme="minorHAnsi" w:hAnsiTheme="minorHAnsi" w:cstheme="minorHAnsi"/>
          <w:sz w:val="20"/>
        </w:rPr>
      </w:pPr>
      <w:r w:rsidRPr="009F60AC">
        <w:rPr>
          <w:rFonts w:asciiTheme="minorHAnsi" w:hAnsiTheme="minorHAnsi" w:cstheme="minorHAnsi"/>
          <w:sz w:val="20"/>
        </w:rPr>
        <w:t xml:space="preserve">Following the severe congestion caused by the Christmas Market just gone, SDC have raised very significant health and Safety issues and have considered cancelling the event on safety grounds.  The chaos of last December was caused by Lincoln City Council cancelling their evet on H&amp;S fears.  This diverted coaches to Stratford upon Avon and the resulting traffic and visitor numbers increased far beyond the </w:t>
      </w:r>
      <w:r w:rsidR="005F3B6D" w:rsidRPr="009F60AC">
        <w:rPr>
          <w:rFonts w:asciiTheme="minorHAnsi" w:hAnsiTheme="minorHAnsi" w:cstheme="minorHAnsi"/>
          <w:sz w:val="20"/>
        </w:rPr>
        <w:t>capacity</w:t>
      </w:r>
      <w:r w:rsidRPr="009F60AC">
        <w:rPr>
          <w:rFonts w:asciiTheme="minorHAnsi" w:hAnsiTheme="minorHAnsi" w:cstheme="minorHAnsi"/>
          <w:sz w:val="20"/>
        </w:rPr>
        <w:t xml:space="preserve"> of the Town to cope</w:t>
      </w:r>
      <w:r w:rsidR="005F3B6D" w:rsidRPr="009F60AC">
        <w:rPr>
          <w:rFonts w:asciiTheme="minorHAnsi" w:hAnsiTheme="minorHAnsi" w:cstheme="minorHAnsi"/>
          <w:sz w:val="20"/>
        </w:rPr>
        <w:t xml:space="preserve"> causing severe disruption to residents and local shoppers</w:t>
      </w:r>
      <w:r w:rsidRPr="009F60AC">
        <w:rPr>
          <w:rFonts w:asciiTheme="minorHAnsi" w:hAnsiTheme="minorHAnsi" w:cstheme="minorHAnsi"/>
          <w:sz w:val="20"/>
        </w:rPr>
        <w:t xml:space="preserve">. </w:t>
      </w:r>
      <w:r w:rsidR="005F3B6D" w:rsidRPr="009F60AC">
        <w:rPr>
          <w:rFonts w:asciiTheme="minorHAnsi" w:hAnsiTheme="minorHAnsi" w:cstheme="minorHAnsi"/>
          <w:sz w:val="20"/>
        </w:rPr>
        <w:t>SDC are reviewing the whole event and may run the event for only two days over a weekend and for two consecutive weekends.  I remain to be convinced that this will only extend the ‘pain’ for Stratford residents.</w:t>
      </w:r>
    </w:p>
    <w:p w14:paraId="71AA38BB" w14:textId="77777777" w:rsidR="00C952D7" w:rsidRDefault="00C952D7" w:rsidP="00C952D7">
      <w:pPr>
        <w:spacing w:after="0"/>
        <w:rPr>
          <w:rStyle w:val="Heading1Char"/>
          <w:rFonts w:asciiTheme="minorHAnsi" w:hAnsiTheme="minorHAnsi" w:cstheme="minorHAnsi"/>
          <w:b/>
          <w:bCs/>
          <w:color w:val="auto"/>
          <w:sz w:val="24"/>
          <w:szCs w:val="24"/>
        </w:rPr>
      </w:pPr>
    </w:p>
    <w:p w14:paraId="20219414" w14:textId="0E79CC95" w:rsidR="009F60AC" w:rsidRDefault="009F60AC" w:rsidP="00C952D7">
      <w:pPr>
        <w:spacing w:after="0"/>
        <w:rPr>
          <w:rFonts w:asciiTheme="minorHAnsi" w:hAnsiTheme="minorHAnsi" w:cstheme="minorHAnsi"/>
          <w:color w:val="000000"/>
          <w:sz w:val="20"/>
          <w:szCs w:val="18"/>
          <w:shd w:val="clear" w:color="auto" w:fill="FFFFFF"/>
        </w:rPr>
      </w:pPr>
      <w:r w:rsidRPr="009F60AC">
        <w:rPr>
          <w:rStyle w:val="Heading1Char"/>
          <w:rFonts w:asciiTheme="minorHAnsi" w:hAnsiTheme="minorHAnsi" w:cstheme="minorHAnsi"/>
          <w:b/>
          <w:bCs/>
          <w:color w:val="auto"/>
          <w:sz w:val="24"/>
          <w:szCs w:val="24"/>
        </w:rPr>
        <w:t>W</w:t>
      </w:r>
      <w:r>
        <w:rPr>
          <w:rStyle w:val="Heading1Char"/>
          <w:rFonts w:asciiTheme="minorHAnsi" w:hAnsiTheme="minorHAnsi" w:cstheme="minorHAnsi"/>
          <w:b/>
          <w:bCs/>
          <w:color w:val="auto"/>
          <w:sz w:val="24"/>
          <w:szCs w:val="24"/>
        </w:rPr>
        <w:t>arm</w:t>
      </w:r>
      <w:r w:rsidRPr="009F60AC">
        <w:rPr>
          <w:rStyle w:val="Heading1Char"/>
          <w:rFonts w:asciiTheme="minorHAnsi" w:hAnsiTheme="minorHAnsi" w:cstheme="minorHAnsi"/>
          <w:b/>
          <w:bCs/>
          <w:color w:val="auto"/>
          <w:sz w:val="24"/>
          <w:szCs w:val="24"/>
        </w:rPr>
        <w:t xml:space="preserve"> H</w:t>
      </w:r>
      <w:r>
        <w:rPr>
          <w:rStyle w:val="Heading1Char"/>
          <w:rFonts w:asciiTheme="minorHAnsi" w:hAnsiTheme="minorHAnsi" w:cstheme="minorHAnsi"/>
          <w:b/>
          <w:bCs/>
          <w:color w:val="auto"/>
          <w:sz w:val="24"/>
          <w:szCs w:val="24"/>
        </w:rPr>
        <w:t>ubs</w:t>
      </w:r>
      <w:r w:rsidRPr="009F60AC">
        <w:rPr>
          <w:rFonts w:asciiTheme="minorHAnsi" w:hAnsiTheme="minorHAnsi" w:cstheme="minorHAnsi"/>
          <w:color w:val="000000"/>
          <w:shd w:val="clear" w:color="auto" w:fill="FFFFFF"/>
        </w:rPr>
        <w:br/>
      </w:r>
      <w:r w:rsidRPr="009F60AC">
        <w:rPr>
          <w:rFonts w:asciiTheme="minorHAnsi" w:hAnsiTheme="minorHAnsi" w:cstheme="minorHAnsi"/>
          <w:color w:val="000000"/>
          <w:sz w:val="20"/>
          <w:szCs w:val="18"/>
          <w:shd w:val="clear" w:color="auto" w:fill="FFFFFF"/>
        </w:rPr>
        <w:t>We are pleased to report that around 100 local people have already visited our Warm Hub at The Other Place where they can enjoy free</w:t>
      </w:r>
      <w:r w:rsidRPr="009F60AC">
        <w:rPr>
          <w:rFonts w:asciiTheme="minorHAnsi" w:hAnsiTheme="minorHAnsi" w:cstheme="minorHAnsi"/>
          <w:sz w:val="20"/>
          <w:szCs w:val="18"/>
        </w:rPr>
        <w:t xml:space="preserve"> hot drinks and snacks, </w:t>
      </w:r>
      <w:proofErr w:type="gramStart"/>
      <w:r w:rsidRPr="009F60AC">
        <w:rPr>
          <w:rFonts w:asciiTheme="minorHAnsi" w:hAnsiTheme="minorHAnsi" w:cstheme="minorHAnsi"/>
          <w:sz w:val="20"/>
          <w:szCs w:val="18"/>
        </w:rPr>
        <w:t>arts</w:t>
      </w:r>
      <w:proofErr w:type="gramEnd"/>
      <w:r w:rsidRPr="009F60AC">
        <w:rPr>
          <w:rFonts w:asciiTheme="minorHAnsi" w:hAnsiTheme="minorHAnsi" w:cstheme="minorHAnsi"/>
          <w:sz w:val="20"/>
          <w:szCs w:val="18"/>
        </w:rPr>
        <w:t xml:space="preserve"> and craft workshops for adults and after school activities for children - as well as a creative play space.  </w:t>
      </w:r>
      <w:r w:rsidRPr="009F60AC">
        <w:rPr>
          <w:rFonts w:asciiTheme="minorHAnsi" w:hAnsiTheme="minorHAnsi" w:cstheme="minorHAnsi"/>
          <w:color w:val="000000"/>
          <w:sz w:val="20"/>
          <w:szCs w:val="18"/>
          <w:shd w:val="clear" w:color="auto" w:fill="FFFFFF"/>
        </w:rPr>
        <w:t>Please do help spread the word. It’s open until the 26 March</w:t>
      </w:r>
      <w:r>
        <w:rPr>
          <w:rFonts w:asciiTheme="minorHAnsi" w:hAnsiTheme="minorHAnsi" w:cstheme="minorHAnsi"/>
          <w:color w:val="000000"/>
          <w:sz w:val="20"/>
          <w:szCs w:val="18"/>
          <w:shd w:val="clear" w:color="auto" w:fill="FFFFFF"/>
        </w:rPr>
        <w:t>.</w:t>
      </w:r>
    </w:p>
    <w:p w14:paraId="41E995BE" w14:textId="77777777" w:rsidR="00C952D7" w:rsidRDefault="00C952D7" w:rsidP="00C952D7">
      <w:pPr>
        <w:spacing w:after="0"/>
        <w:rPr>
          <w:rFonts w:asciiTheme="minorHAnsi" w:hAnsiTheme="minorHAnsi" w:cstheme="minorHAnsi"/>
          <w:b/>
          <w:bCs/>
          <w:szCs w:val="24"/>
          <w:lang w:val="en-US"/>
        </w:rPr>
      </w:pPr>
    </w:p>
    <w:p w14:paraId="227B69DD" w14:textId="2A4F5E83" w:rsidR="009F60AC" w:rsidRDefault="009F60AC" w:rsidP="00C952D7">
      <w:pPr>
        <w:spacing w:after="0"/>
        <w:rPr>
          <w:rFonts w:asciiTheme="minorHAnsi" w:hAnsiTheme="minorHAnsi" w:cstheme="minorHAnsi"/>
          <w:b/>
          <w:bCs/>
          <w:sz w:val="18"/>
          <w:szCs w:val="16"/>
        </w:rPr>
      </w:pPr>
      <w:r w:rsidRPr="009F60AC">
        <w:rPr>
          <w:rFonts w:asciiTheme="minorHAnsi" w:hAnsiTheme="minorHAnsi" w:cstheme="minorHAnsi"/>
          <w:b/>
          <w:bCs/>
          <w:szCs w:val="24"/>
          <w:lang w:val="en-US"/>
        </w:rPr>
        <w:t>Winter Trail</w:t>
      </w:r>
    </w:p>
    <w:p w14:paraId="2EBC83A4" w14:textId="10FF054F" w:rsidR="009F60AC" w:rsidRDefault="009F60AC" w:rsidP="00C952D7">
      <w:pPr>
        <w:spacing w:after="0"/>
        <w:rPr>
          <w:rStyle w:val="cf01"/>
          <w:rFonts w:asciiTheme="minorHAnsi" w:hAnsiTheme="minorHAnsi" w:cstheme="minorHAnsi"/>
          <w:sz w:val="20"/>
          <w:szCs w:val="18"/>
        </w:rPr>
      </w:pPr>
      <w:r w:rsidRPr="009F60AC">
        <w:rPr>
          <w:rFonts w:asciiTheme="minorHAnsi" w:hAnsiTheme="minorHAnsi" w:cstheme="minorHAnsi"/>
          <w:sz w:val="20"/>
          <w:szCs w:val="18"/>
        </w:rPr>
        <w:t xml:space="preserve">A reminder that </w:t>
      </w:r>
      <w:hyperlink r:id="rId5" w:history="1">
        <w:r w:rsidRPr="009F60AC">
          <w:rPr>
            <w:rStyle w:val="Hyperlink"/>
            <w:rFonts w:asciiTheme="minorHAnsi" w:hAnsiTheme="minorHAnsi" w:cstheme="minorHAnsi"/>
            <w:i/>
            <w:iCs/>
            <w:sz w:val="20"/>
            <w:szCs w:val="18"/>
          </w:rPr>
          <w:t>Town of Imagination: A winter trail of stories and magic</w:t>
        </w:r>
      </w:hyperlink>
      <w:r w:rsidRPr="009F60AC">
        <w:rPr>
          <w:rStyle w:val="ui-provider"/>
          <w:rFonts w:asciiTheme="minorHAnsi" w:hAnsiTheme="minorHAnsi" w:cstheme="minorHAnsi"/>
          <w:i/>
          <w:iCs/>
          <w:sz w:val="20"/>
          <w:szCs w:val="18"/>
        </w:rPr>
        <w:t xml:space="preserve"> </w:t>
      </w:r>
      <w:r w:rsidRPr="009F60AC">
        <w:rPr>
          <w:rStyle w:val="ui-provider"/>
          <w:rFonts w:asciiTheme="minorHAnsi" w:hAnsiTheme="minorHAnsi" w:cstheme="minorHAnsi"/>
          <w:sz w:val="20"/>
          <w:szCs w:val="18"/>
        </w:rPr>
        <w:t xml:space="preserve">runs until the end of this month. Inspired by </w:t>
      </w:r>
      <w:hyperlink r:id="rId6" w:history="1">
        <w:r w:rsidRPr="009F60AC">
          <w:rPr>
            <w:rStyle w:val="Hyperlink"/>
            <w:rFonts w:asciiTheme="minorHAnsi" w:hAnsiTheme="minorHAnsi" w:cstheme="minorHAnsi"/>
            <w:i/>
            <w:iCs/>
            <w:sz w:val="20"/>
            <w:szCs w:val="18"/>
          </w:rPr>
          <w:t>A Midsummer Night’s Dream</w:t>
        </w:r>
      </w:hyperlink>
      <w:r w:rsidRPr="009F60AC">
        <w:rPr>
          <w:rStyle w:val="ui-provider"/>
          <w:rFonts w:asciiTheme="minorHAnsi" w:hAnsiTheme="minorHAnsi" w:cstheme="minorHAnsi"/>
          <w:sz w:val="20"/>
          <w:szCs w:val="18"/>
        </w:rPr>
        <w:t>, the trail is taking place with community groups, partners and businesses from across the town, s</w:t>
      </w:r>
      <w:r w:rsidRPr="009F60AC">
        <w:rPr>
          <w:rFonts w:asciiTheme="minorHAnsi" w:hAnsiTheme="minorHAnsi" w:cstheme="minorHAnsi"/>
          <w:sz w:val="20"/>
          <w:szCs w:val="18"/>
        </w:rPr>
        <w:t xml:space="preserve">upported by Stratford Town Trust. </w:t>
      </w:r>
      <w:r w:rsidRPr="009F60AC">
        <w:rPr>
          <w:rStyle w:val="cf01"/>
          <w:rFonts w:asciiTheme="minorHAnsi" w:hAnsiTheme="minorHAnsi" w:cstheme="minorHAnsi"/>
          <w:sz w:val="20"/>
          <w:szCs w:val="18"/>
        </w:rPr>
        <w:t xml:space="preserve">The trail was designed with </w:t>
      </w:r>
      <w:proofErr w:type="spellStart"/>
      <w:r w:rsidRPr="009F60AC">
        <w:rPr>
          <w:rStyle w:val="cf01"/>
          <w:rFonts w:asciiTheme="minorHAnsi" w:hAnsiTheme="minorHAnsi" w:cstheme="minorHAnsi"/>
          <w:sz w:val="20"/>
          <w:szCs w:val="18"/>
        </w:rPr>
        <w:t>Copernicana</w:t>
      </w:r>
      <w:proofErr w:type="spellEnd"/>
      <w:r w:rsidRPr="009F60AC">
        <w:rPr>
          <w:rStyle w:val="cf01"/>
          <w:rFonts w:asciiTheme="minorHAnsi" w:hAnsiTheme="minorHAnsi" w:cstheme="minorHAnsi"/>
          <w:sz w:val="20"/>
          <w:szCs w:val="18"/>
        </w:rPr>
        <w:t xml:space="preserve"> CIC, 2nd Stratford Brownies, Stratford Youth Collective, Shakespeare Hospice, Warwickshire Pride and Stratford Library. </w:t>
      </w:r>
    </w:p>
    <w:p w14:paraId="769BFB4B" w14:textId="77777777" w:rsidR="00C952D7" w:rsidRDefault="00C952D7" w:rsidP="00C952D7">
      <w:pPr>
        <w:spacing w:after="0"/>
        <w:rPr>
          <w:rStyle w:val="cf01"/>
          <w:rFonts w:asciiTheme="minorHAnsi" w:hAnsiTheme="minorHAnsi" w:cstheme="minorHAnsi"/>
          <w:b/>
          <w:bCs/>
        </w:rPr>
      </w:pPr>
    </w:p>
    <w:p w14:paraId="21F31CC6" w14:textId="39225ECF" w:rsidR="00892911" w:rsidRPr="00892911" w:rsidRDefault="00892911" w:rsidP="00C952D7">
      <w:pPr>
        <w:spacing w:after="0"/>
        <w:rPr>
          <w:rFonts w:asciiTheme="minorHAnsi" w:hAnsiTheme="minorHAnsi" w:cstheme="minorHAnsi"/>
          <w:b/>
          <w:bCs/>
          <w:sz w:val="22"/>
          <w:szCs w:val="20"/>
        </w:rPr>
      </w:pPr>
      <w:r w:rsidRPr="00892911">
        <w:rPr>
          <w:rStyle w:val="cf01"/>
          <w:rFonts w:asciiTheme="minorHAnsi" w:hAnsiTheme="minorHAnsi" w:cstheme="minorHAnsi"/>
          <w:b/>
          <w:bCs/>
        </w:rPr>
        <w:t>Assets of Community Value.</w:t>
      </w:r>
    </w:p>
    <w:p w14:paraId="0E4299A6" w14:textId="632D35EE" w:rsidR="00E32E31" w:rsidRPr="00E32E31" w:rsidRDefault="00892911" w:rsidP="00C952D7">
      <w:pPr>
        <w:spacing w:after="0"/>
        <w:rPr>
          <w:rFonts w:asciiTheme="minorHAnsi" w:hAnsiTheme="minorHAnsi" w:cstheme="minorHAnsi"/>
          <w:sz w:val="20"/>
          <w:szCs w:val="20"/>
        </w:rPr>
      </w:pPr>
      <w:r w:rsidRPr="00892911">
        <w:rPr>
          <w:rFonts w:asciiTheme="minorHAnsi" w:hAnsiTheme="minorHAnsi" w:cstheme="minorHAnsi"/>
          <w:sz w:val="20"/>
          <w:szCs w:val="20"/>
        </w:rPr>
        <w:t xml:space="preserve">Assets of community value (ACVs) were introduced by the Localism Act 2011. Local authorities must keep a list of ACVs in their area. </w:t>
      </w:r>
      <w:proofErr w:type="gramStart"/>
      <w:r w:rsidRPr="00892911">
        <w:rPr>
          <w:rFonts w:asciiTheme="minorHAnsi" w:hAnsiTheme="minorHAnsi" w:cstheme="minorHAnsi"/>
          <w:sz w:val="20"/>
          <w:szCs w:val="20"/>
        </w:rPr>
        <w:t>In order to</w:t>
      </w:r>
      <w:proofErr w:type="gramEnd"/>
      <w:r w:rsidRPr="00892911">
        <w:rPr>
          <w:rFonts w:asciiTheme="minorHAnsi" w:hAnsiTheme="minorHAnsi" w:cstheme="minorHAnsi"/>
          <w:sz w:val="20"/>
          <w:szCs w:val="20"/>
        </w:rPr>
        <w:t xml:space="preserve"> be listed, land or buildings must be nominated by a parish council or a community or voluntary body with a local connection. The purpose behind the ACV regime was to enable community groups time to put together bids to purchase an ACV to avoid losing it.</w:t>
      </w:r>
    </w:p>
    <w:p w14:paraId="2C0D2E54" w14:textId="77777777" w:rsidR="00E32E31" w:rsidRPr="00C952D7" w:rsidRDefault="00E32E31" w:rsidP="00C952D7">
      <w:pPr>
        <w:pStyle w:val="Default"/>
        <w:rPr>
          <w:sz w:val="23"/>
          <w:szCs w:val="23"/>
        </w:rPr>
      </w:pPr>
      <w:r>
        <w:t xml:space="preserve"> </w:t>
      </w:r>
      <w:proofErr w:type="gramStart"/>
      <w:r w:rsidRPr="00C952D7">
        <w:rPr>
          <w:sz w:val="23"/>
          <w:szCs w:val="23"/>
        </w:rPr>
        <w:t>ACV’s</w:t>
      </w:r>
      <w:proofErr w:type="gramEnd"/>
      <w:r w:rsidRPr="00C952D7">
        <w:rPr>
          <w:sz w:val="23"/>
          <w:szCs w:val="23"/>
        </w:rPr>
        <w:t xml:space="preserve"> are defined in terms of: </w:t>
      </w:r>
    </w:p>
    <w:p w14:paraId="353133E4" w14:textId="77777777" w:rsidR="00E32E31" w:rsidRPr="00E32E31" w:rsidRDefault="00E32E31" w:rsidP="00C952D7">
      <w:pPr>
        <w:pStyle w:val="Default"/>
        <w:numPr>
          <w:ilvl w:val="0"/>
          <w:numId w:val="3"/>
        </w:numPr>
        <w:rPr>
          <w:sz w:val="20"/>
          <w:szCs w:val="20"/>
        </w:rPr>
      </w:pPr>
      <w:r w:rsidRPr="00E32E31">
        <w:rPr>
          <w:b/>
          <w:bCs/>
          <w:sz w:val="20"/>
          <w:szCs w:val="20"/>
        </w:rPr>
        <w:t xml:space="preserve">Their Purpose </w:t>
      </w:r>
      <w:r w:rsidRPr="00E32E31">
        <w:rPr>
          <w:sz w:val="20"/>
          <w:szCs w:val="20"/>
        </w:rPr>
        <w:t xml:space="preserve">– that to which they are being or have been used, rather than the nature of the asset itself (i.e. not in historical, architectural merit, </w:t>
      </w:r>
      <w:proofErr w:type="gramStart"/>
      <w:r w:rsidRPr="00E32E31">
        <w:rPr>
          <w:sz w:val="20"/>
          <w:szCs w:val="20"/>
        </w:rPr>
        <w:t>location</w:t>
      </w:r>
      <w:proofErr w:type="gramEnd"/>
      <w:r w:rsidRPr="00E32E31">
        <w:rPr>
          <w:sz w:val="20"/>
          <w:szCs w:val="20"/>
        </w:rPr>
        <w:t xml:space="preserve"> or rarity value). </w:t>
      </w:r>
    </w:p>
    <w:p w14:paraId="58D7D5D0" w14:textId="032E67C2" w:rsidR="00E32E31" w:rsidRPr="00E32E31" w:rsidRDefault="00E32E31" w:rsidP="00C952D7">
      <w:pPr>
        <w:pStyle w:val="Default"/>
        <w:numPr>
          <w:ilvl w:val="0"/>
          <w:numId w:val="3"/>
        </w:numPr>
        <w:rPr>
          <w:sz w:val="20"/>
          <w:szCs w:val="20"/>
        </w:rPr>
      </w:pPr>
      <w:r w:rsidRPr="00E32E31">
        <w:rPr>
          <w:b/>
          <w:bCs/>
          <w:sz w:val="20"/>
          <w:szCs w:val="20"/>
        </w:rPr>
        <w:t xml:space="preserve">Location </w:t>
      </w:r>
      <w:r w:rsidRPr="00E32E31">
        <w:rPr>
          <w:sz w:val="20"/>
          <w:szCs w:val="20"/>
        </w:rPr>
        <w:t xml:space="preserve">– within SDC’s area (neighbouring authorities will work together if the asset crosses a boundary). </w:t>
      </w:r>
    </w:p>
    <w:p w14:paraId="6B327682" w14:textId="3AC3B24F" w:rsidR="00E32E31" w:rsidRPr="00E32E31" w:rsidRDefault="00E32E31" w:rsidP="00C952D7">
      <w:pPr>
        <w:pStyle w:val="Default"/>
        <w:numPr>
          <w:ilvl w:val="0"/>
          <w:numId w:val="3"/>
        </w:numPr>
        <w:rPr>
          <w:sz w:val="20"/>
          <w:szCs w:val="20"/>
        </w:rPr>
      </w:pPr>
      <w:r w:rsidRPr="00E32E31">
        <w:rPr>
          <w:b/>
          <w:bCs/>
          <w:sz w:val="20"/>
          <w:szCs w:val="20"/>
        </w:rPr>
        <w:t xml:space="preserve">Ownership </w:t>
      </w:r>
      <w:r w:rsidRPr="00E32E31">
        <w:rPr>
          <w:sz w:val="20"/>
          <w:szCs w:val="20"/>
        </w:rPr>
        <w:t xml:space="preserve">– they can be publicly or privately owned. </w:t>
      </w:r>
    </w:p>
    <w:p w14:paraId="3CFCED50" w14:textId="6F0BBB98" w:rsidR="00E32E31" w:rsidRPr="00C952D7" w:rsidRDefault="00E32E31" w:rsidP="00C952D7">
      <w:pPr>
        <w:pStyle w:val="Default"/>
        <w:rPr>
          <w:sz w:val="23"/>
          <w:szCs w:val="23"/>
        </w:rPr>
      </w:pPr>
      <w:r w:rsidRPr="00C952D7">
        <w:rPr>
          <w:sz w:val="23"/>
          <w:szCs w:val="23"/>
        </w:rPr>
        <w:t xml:space="preserve">Social Interests: </w:t>
      </w:r>
    </w:p>
    <w:p w14:paraId="6DA61F22" w14:textId="3E89B7AF" w:rsidR="00E32E31" w:rsidRPr="00E32E31" w:rsidRDefault="00E32E31" w:rsidP="00C952D7">
      <w:pPr>
        <w:spacing w:after="0"/>
        <w:rPr>
          <w:rFonts w:asciiTheme="minorHAnsi" w:hAnsiTheme="minorHAnsi" w:cstheme="minorHAnsi"/>
          <w:sz w:val="20"/>
          <w:szCs w:val="20"/>
        </w:rPr>
      </w:pPr>
      <w:r w:rsidRPr="00E32E31">
        <w:rPr>
          <w:rFonts w:asciiTheme="minorHAnsi" w:hAnsiTheme="minorHAnsi" w:cstheme="minorHAnsi"/>
          <w:sz w:val="20"/>
          <w:szCs w:val="20"/>
        </w:rPr>
        <w:t>These can include ‘cultural, social, or sporting interests’, but ‘social well-being’ applies to a much broader set of activities. These may include schools, health centres, residential care homes, open spaces, sports’ centres, theatres, village halls, public houses, village shops.</w:t>
      </w:r>
      <w:r>
        <w:rPr>
          <w:rFonts w:asciiTheme="minorHAnsi" w:hAnsiTheme="minorHAnsi" w:cstheme="minorHAnsi"/>
          <w:sz w:val="20"/>
          <w:szCs w:val="20"/>
        </w:rPr>
        <w:t xml:space="preserve">  If you would like to know more about ACV’s please let me know and I will provide further information.</w:t>
      </w:r>
    </w:p>
    <w:sectPr w:rsidR="00E32E31" w:rsidRPr="00E32E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73EF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75C8D"/>
    <w:multiLevelType w:val="hybridMultilevel"/>
    <w:tmpl w:val="94E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C610B"/>
    <w:multiLevelType w:val="hybridMultilevel"/>
    <w:tmpl w:val="592EC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820111">
    <w:abstractNumId w:val="1"/>
  </w:num>
  <w:num w:numId="2" w16cid:durableId="1196038239">
    <w:abstractNumId w:val="0"/>
  </w:num>
  <w:num w:numId="3" w16cid:durableId="484783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83"/>
    <w:rsid w:val="0001788F"/>
    <w:rsid w:val="000738BA"/>
    <w:rsid w:val="000C65AE"/>
    <w:rsid w:val="0011168F"/>
    <w:rsid w:val="00235456"/>
    <w:rsid w:val="00260053"/>
    <w:rsid w:val="00283AF4"/>
    <w:rsid w:val="002868C9"/>
    <w:rsid w:val="00292D86"/>
    <w:rsid w:val="00295AFF"/>
    <w:rsid w:val="002965E5"/>
    <w:rsid w:val="002B5D75"/>
    <w:rsid w:val="003B116D"/>
    <w:rsid w:val="003D1BB1"/>
    <w:rsid w:val="003F0905"/>
    <w:rsid w:val="00497ABA"/>
    <w:rsid w:val="00515EB3"/>
    <w:rsid w:val="00525D49"/>
    <w:rsid w:val="00546098"/>
    <w:rsid w:val="005476ED"/>
    <w:rsid w:val="005830C9"/>
    <w:rsid w:val="005E3AF7"/>
    <w:rsid w:val="005E47A0"/>
    <w:rsid w:val="005F3B6D"/>
    <w:rsid w:val="006039DC"/>
    <w:rsid w:val="006065F9"/>
    <w:rsid w:val="006E209D"/>
    <w:rsid w:val="007078EA"/>
    <w:rsid w:val="00723883"/>
    <w:rsid w:val="007553ED"/>
    <w:rsid w:val="00762465"/>
    <w:rsid w:val="00781BFB"/>
    <w:rsid w:val="007A0344"/>
    <w:rsid w:val="007F7C0B"/>
    <w:rsid w:val="00800E69"/>
    <w:rsid w:val="008238EC"/>
    <w:rsid w:val="00880AEF"/>
    <w:rsid w:val="00881B84"/>
    <w:rsid w:val="00884AE6"/>
    <w:rsid w:val="00892911"/>
    <w:rsid w:val="008B5E9C"/>
    <w:rsid w:val="0093180F"/>
    <w:rsid w:val="0098196C"/>
    <w:rsid w:val="00986FC1"/>
    <w:rsid w:val="009B117E"/>
    <w:rsid w:val="009F60AC"/>
    <w:rsid w:val="00AA32A0"/>
    <w:rsid w:val="00AE41ED"/>
    <w:rsid w:val="00B001B8"/>
    <w:rsid w:val="00B05775"/>
    <w:rsid w:val="00B65FB1"/>
    <w:rsid w:val="00C10D8B"/>
    <w:rsid w:val="00C15BCB"/>
    <w:rsid w:val="00C25A38"/>
    <w:rsid w:val="00C952D7"/>
    <w:rsid w:val="00CA695C"/>
    <w:rsid w:val="00D07524"/>
    <w:rsid w:val="00D93826"/>
    <w:rsid w:val="00DB3466"/>
    <w:rsid w:val="00DE2DE6"/>
    <w:rsid w:val="00E32E31"/>
    <w:rsid w:val="00E72D06"/>
    <w:rsid w:val="00EE3BA0"/>
    <w:rsid w:val="00F641D4"/>
    <w:rsid w:val="00F70DC8"/>
    <w:rsid w:val="00F82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986A"/>
  <w15:docId w15:val="{C4191F6E-4195-4EBA-AE48-F1AF8906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irmala UI" w:eastAsiaTheme="minorHAnsi" w:hAnsi="Nirmala UI" w:cs="Nirmala U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0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5AE"/>
    <w:pPr>
      <w:ind w:left="720"/>
      <w:contextualSpacing/>
    </w:pPr>
  </w:style>
  <w:style w:type="character" w:customStyle="1" w:styleId="Heading1Char">
    <w:name w:val="Heading 1 Char"/>
    <w:basedOn w:val="DefaultParagraphFont"/>
    <w:link w:val="Heading1"/>
    <w:uiPriority w:val="9"/>
    <w:rsid w:val="009F60A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9F60AC"/>
    <w:rPr>
      <w:color w:val="0563C1"/>
      <w:u w:val="single"/>
    </w:rPr>
  </w:style>
  <w:style w:type="character" w:customStyle="1" w:styleId="cf01">
    <w:name w:val="cf01"/>
    <w:basedOn w:val="DefaultParagraphFont"/>
    <w:rsid w:val="009F60AC"/>
    <w:rPr>
      <w:rFonts w:ascii="Segoe UI" w:hAnsi="Segoe UI" w:cs="Segoe UI" w:hint="default"/>
    </w:rPr>
  </w:style>
  <w:style w:type="character" w:customStyle="1" w:styleId="ui-provider">
    <w:name w:val="ui-provider"/>
    <w:basedOn w:val="DefaultParagraphFont"/>
    <w:rsid w:val="009F60AC"/>
  </w:style>
  <w:style w:type="paragraph" w:customStyle="1" w:styleId="Default">
    <w:name w:val="Default"/>
    <w:rsid w:val="00892911"/>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rsc.org.uk%2Fa-midsummer-nights-dream%2F&amp;data=05%7C02%7CMalcolm.Littlewood%40stratford-dc.gov.uk%7Cb83f22d0d55d456b519a08dc3d077d8f%7Cea0773dc0dec4c50a4c9bc26a247ed21%7C1%7C0%7C638452349693165717%7CUnknown%7CTWFpbGZsb3d8eyJWIjoiMC4wLjAwMDAiLCJQIjoiV2luMzIiLCJBTiI6Ik1haWwiLCJXVCI6Mn0%3D%7C0%7C%7C%7C&amp;sdata=2sDKIqUaimCFrpD90cqW6Dg3QufL2WToelFjr1%2FdqRg%3D&amp;reserved=0" TargetMode="External"/><Relationship Id="rId5" Type="http://schemas.openxmlformats.org/officeDocument/2006/relationships/hyperlink" Target="https://gbr01.safelinks.protection.outlook.com/?url=https%3A%2F%2Fwww.rsc.org.uk%2Fevents%2Fwinter-trail&amp;data=05%7C02%7CMalcolm.Littlewood%40stratford-dc.gov.uk%7Cb83f22d0d55d456b519a08dc3d077d8f%7Cea0773dc0dec4c50a4c9bc26a247ed21%7C1%7C0%7C638452349693159323%7CUnknown%7CTWFpbGZsb3d8eyJWIjoiMC4wLjAwMDAiLCJQIjoiV2luMzIiLCJBTiI6Ik1haWwiLCJXVCI6Mn0%3D%7C0%7C%7C%7C&amp;sdata=0lR3R7cdPE6mdlNjCeqIUd9h1OU7jCRUYBhoQx4vpnM%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I. Littlewood</dc:creator>
  <cp:lastModifiedBy>Tysoe Parish Clerk</cp:lastModifiedBy>
  <cp:revision>2</cp:revision>
  <cp:lastPrinted>2024-03-05T15:10:00Z</cp:lastPrinted>
  <dcterms:created xsi:type="dcterms:W3CDTF">2024-03-05T15:13:00Z</dcterms:created>
  <dcterms:modified xsi:type="dcterms:W3CDTF">2024-03-05T15:13:00Z</dcterms:modified>
</cp:coreProperties>
</file>